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5298" w:type="dxa"/>
        <w:tblLayout w:type="fixed"/>
        <w:tblLook w:val="04A0" w:firstRow="1" w:lastRow="0" w:firstColumn="1" w:lastColumn="0" w:noHBand="0" w:noVBand="1"/>
      </w:tblPr>
      <w:tblGrid>
        <w:gridCol w:w="444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  <w:t xml:space="preserve">Приложение</w:t>
            </w: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  <w:t xml:space="preserve"> № 11 </w:t>
            </w: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  <w:t xml:space="preserve">к Единой учетной политике</w:t>
            </w:r>
            <w:r>
              <w:rPr>
                <w:rFonts w:ascii="Times New Roman" w:hAnsi="Times New Roman" w:cs="Times New Roman" w:eastAsiaTheme="minorEastAsia"/>
                <w:bCs/>
                <w:color w:val="26282f"/>
                <w:sz w:val="28"/>
                <w:szCs w:val="28"/>
                <w:lang w:eastAsia="ru-RU"/>
              </w:rPr>
            </w:r>
            <w:r/>
            <w:r>
              <w:rPr>
                <w:rFonts w:ascii="Times New Roman" w:hAnsi="Times New Roman" w:cs="Times New Roman" w:eastAsiaTheme="minorEastAsia"/>
                <w:color w:val="26282f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26282f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108" w:after="108" w:line="240" w:lineRule="auto"/>
        <w:widowControl w:val="off"/>
        <w:rPr>
          <w:rFonts w:ascii="Times New Roman" w:hAnsi="Times New Roman" w:cs="Times New Roman" w:eastAsiaTheme="minorEastAsia"/>
          <w:bCs/>
          <w:color w:val="26282f"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 w:eastAsiaTheme="minorEastAsia"/>
          <w:bCs/>
          <w:color w:val="26282f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bCs/>
          <w:color w:val="26282f"/>
          <w:sz w:val="28"/>
          <w:szCs w:val="28"/>
          <w:lang w:eastAsia="ru-RU"/>
        </w:rPr>
      </w:r>
    </w:p>
    <w:p>
      <w:pPr>
        <w:jc w:val="center"/>
        <w:spacing w:before="108" w:after="108" w:line="240" w:lineRule="auto"/>
        <w:widowControl w:val="off"/>
        <w:rPr>
          <w:rFonts w:ascii="Times New Roman" w:hAnsi="Times New Roman" w:cs="Times New Roman" w:eastAsiaTheme="minorEastAsia"/>
          <w:b/>
          <w:bCs/>
          <w:color w:val="26282f"/>
          <w:sz w:val="28"/>
          <w:szCs w:val="28"/>
          <w:lang w:eastAsia="ru-RU"/>
        </w:rPr>
        <w:outlineLvl w:val="0"/>
      </w:pPr>
      <w:r/>
      <w:bookmarkStart w:id="0" w:name="_Hlk194412730"/>
      <w:r>
        <w:rPr>
          <w:rFonts w:ascii="Times New Roman" w:hAnsi="Times New Roman" w:cs="Times New Roman" w:eastAsiaTheme="minorEastAsia"/>
          <w:b/>
          <w:bCs/>
          <w:color w:val="26282f"/>
          <w:sz w:val="28"/>
          <w:szCs w:val="28"/>
          <w:lang w:eastAsia="ru-RU"/>
        </w:rPr>
        <w:t xml:space="preserve">Информация для заполнения </w:t>
      </w:r>
      <w:r>
        <w:rPr>
          <w:rFonts w:ascii="Times New Roman" w:hAnsi="Times New Roman" w:cs="Times New Roman" w:eastAsiaTheme="minorEastAsia"/>
          <w:b/>
          <w:bCs/>
          <w:color w:val="26282f"/>
          <w:sz w:val="28"/>
          <w:szCs w:val="28"/>
          <w:lang w:eastAsia="ru-RU"/>
        </w:rPr>
      </w:r>
    </w:p>
    <w:p>
      <w:pPr>
        <w:jc w:val="center"/>
        <w:spacing w:before="108" w:after="108" w:line="240" w:lineRule="auto"/>
        <w:widowControl w:val="off"/>
        <w:rPr>
          <w:rFonts w:ascii="Times New Roman" w:hAnsi="Times New Roman" w:cs="Times New Roman" w:eastAsiaTheme="minorEastAsia"/>
          <w:b/>
          <w:bCs/>
          <w:color w:val="26282f"/>
          <w:sz w:val="24"/>
          <w:szCs w:val="24"/>
          <w:lang w:eastAsia="ru-RU"/>
        </w:rPr>
        <w:outlineLvl w:val="0"/>
      </w:pPr>
      <w:r>
        <w:rPr>
          <w:rFonts w:ascii="Times New Roman" w:hAnsi="Times New Roman" w:cs="Times New Roman" w:eastAsiaTheme="minorEastAsia"/>
          <w:color w:val="26282f"/>
          <w:sz w:val="24"/>
          <w:szCs w:val="24"/>
          <w:lang w:eastAsia="ru-RU"/>
        </w:rPr>
        <w:t xml:space="preserve">Подраздел</w:t>
      </w:r>
      <w:r>
        <w:rPr>
          <w:rFonts w:ascii="Times New Roman" w:hAnsi="Times New Roman" w:cs="Times New Roman" w:eastAsiaTheme="minorEastAsia"/>
          <w:color w:val="26282f"/>
          <w:sz w:val="24"/>
          <w:szCs w:val="24"/>
          <w:lang w:eastAsia="ru-RU"/>
        </w:rPr>
        <w:t xml:space="preserve">а</w:t>
      </w:r>
      <w:r>
        <w:rPr>
          <w:rFonts w:ascii="Times New Roman" w:hAnsi="Times New Roman" w:cs="Times New Roman" w:eastAsiaTheme="minorEastAsia"/>
          <w:color w:val="26282f"/>
          <w:sz w:val="24"/>
          <w:szCs w:val="24"/>
          <w:lang w:eastAsia="ru-RU"/>
        </w:rPr>
        <w:t xml:space="preserve"> 2.3. «Сведения о результатах проведенных обязательных предварительных и периодических медицинских осмотров работников и</w:t>
      </w:r>
      <w:r>
        <w:rPr>
          <w:rFonts w:ascii="Times New Roman" w:hAnsi="Times New Roman" w:cs="Times New Roman" w:eastAsiaTheme="minorEastAsia"/>
          <w:color w:val="26282f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bCs/>
          <w:color w:val="26282f"/>
          <w:sz w:val="24"/>
          <w:szCs w:val="24"/>
          <w:lang w:eastAsia="ru-RU"/>
        </w:rPr>
        <w:t xml:space="preserve">проведенной специальной оценке условий труда на начало года» Раздела 2 ЕФС-1</w:t>
      </w:r>
      <w:r>
        <w:rPr>
          <w:rFonts w:ascii="Times New Roman" w:hAnsi="Times New Roman" w:cs="Times New Roman" w:eastAsiaTheme="minorEastAsia"/>
          <w:bCs/>
          <w:color w:val="26282f"/>
          <w:sz w:val="24"/>
          <w:szCs w:val="24"/>
          <w:lang w:eastAsia="ru-RU"/>
        </w:rPr>
        <w:t xml:space="preserve"> </w:t>
      </w:r>
      <w:bookmarkEnd w:id="0"/>
      <w:r>
        <w:rPr>
          <w:rFonts w:ascii="Times New Roman" w:hAnsi="Times New Roman" w:cs="Times New Roman" w:eastAsiaTheme="minorEastAsia"/>
          <w:b/>
          <w:bCs/>
          <w:color w:val="26282f"/>
          <w:sz w:val="28"/>
          <w:szCs w:val="28"/>
          <w:lang w:eastAsia="ru-RU"/>
        </w:rPr>
        <w:t xml:space="preserve">за 20____год</w:t>
      </w:r>
      <w:r>
        <w:rPr>
          <w:rFonts w:ascii="Times New Roman" w:hAnsi="Times New Roman" w:cs="Times New Roman" w:eastAsiaTheme="minorEastAsia"/>
          <w:b/>
          <w:bCs/>
          <w:color w:val="26282f"/>
          <w:sz w:val="24"/>
          <w:szCs w:val="24"/>
          <w:lang w:eastAsia="ru-RU"/>
        </w:rPr>
      </w:r>
    </w:p>
    <w:p>
      <w:pPr>
        <w:jc w:val="center"/>
        <w:spacing w:before="108" w:after="108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по состоянию на 01.01.20___г.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*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[</w:t>
      </w:r>
      <w:r>
        <w:rPr>
          <w:rFonts w:ascii="Times New Roman" w:hAnsi="Times New Roman" w:cs="Times New Roman" w:eastAsiaTheme="minorEastAsia"/>
          <w:b/>
          <w:bCs/>
          <w:sz w:val="28"/>
          <w:szCs w:val="28"/>
          <w:lang w:eastAsia="ru-RU"/>
        </w:rPr>
        <w:t xml:space="preserve">наименование </w:t>
      </w:r>
      <w:r>
        <w:rPr>
          <w:rFonts w:ascii="Times New Roman" w:hAnsi="Times New Roman" w:cs="Times New Roman" w:eastAsiaTheme="minorEastAsia"/>
          <w:b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]  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/>
      <w:bookmarkStart w:id="1" w:name="sub_1213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Проведение обязательных предварительных и периодических медицинских осмотров рабо</w:t>
      </w:r>
      <w:bookmarkStart w:id="2" w:name="_GoBack"/>
      <w:r/>
      <w:bookmarkEnd w:id="2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тников:</w:t>
      </w:r>
      <w:bookmarkEnd w:id="1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/>
      <w:bookmarkStart w:id="3" w:name="sub_1214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Общая численность работников, подлежащих обязательным предварительным и периодическим медицинским осмотрам (чел.) __________</w:t>
      </w:r>
      <w:bookmarkEnd w:id="3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/>
      <w:bookmarkStart w:id="4" w:name="sub_1215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Численность работников, прошедших обязательные предварительные и периодические медицинские осмотры (чел.) ____________.</w:t>
      </w:r>
      <w:bookmarkEnd w:id="4"/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tbl>
      <w:tblPr>
        <w:tblW w:w="1063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50"/>
        <w:gridCol w:w="1560"/>
        <w:gridCol w:w="850"/>
        <w:gridCol w:w="992"/>
        <w:gridCol w:w="1134"/>
        <w:gridCol w:w="709"/>
        <w:gridCol w:w="567"/>
        <w:gridCol w:w="709"/>
        <w:gridCol w:w="709"/>
        <w:gridCol w:w="850"/>
      </w:tblGrid>
      <w:tr>
        <w:tblPrEx/>
        <w:trPr/>
        <w:tc>
          <w:tcPr>
            <w:tcBorders>
              <w:top w:val="single" w:color="auto" w:sz="4" w:space="0"/>
              <w:bottom w:val="none" w:color="000000" w:sz="4" w:space="0"/>
              <w:right w:val="none" w:color="000000" w:sz="4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/>
            <w:bookmarkStart w:id="5" w:name="sub_1216"/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Наименование показателя</w:t>
            </w:r>
            <w:bookmarkEnd w:id="5"/>
            <w:r/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строки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Общее количество рабочих мест страхователя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none" w:color="000000" w:sz="4" w:space="0"/>
            </w:tcBorders>
            <w:tcW w:w="6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Количество рабочих мест, в отношении которых проведена специальная оценка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условий труда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bottom w:val="none" w:color="000000" w:sz="4" w:space="0"/>
              <w:right w:val="none" w:color="000000" w:sz="4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non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в том числе отнесенных к классам (подклассам) условий труда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bottom w:val="none" w:color="000000" w:sz="4" w:space="0"/>
              <w:right w:val="none" w:color="000000" w:sz="4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 класс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 класс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 класс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 класс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none" w:color="000000" w:sz="4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3.3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3.4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Проведение специальной оценки условий труда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/>
            <w:bookmarkStart w:id="6" w:name="sub_1217"/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1</w:t>
            </w:r>
            <w:bookmarkEnd w:id="6"/>
            <w:r/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 CYR" w:hAnsi="Times New Roman CYR" w:cs="Times New Roman CYR" w:eastAsiaTheme="minorEastAsia"/>
          <w:sz w:val="24"/>
          <w:szCs w:val="24"/>
          <w:lang w:eastAsia="ru-RU"/>
        </w:rPr>
      </w:pPr>
      <w:r>
        <w:rPr>
          <w:rFonts w:ascii="Times New Roman CYR" w:hAnsi="Times New Roman CYR" w:cs="Times New Roman CYR" w:eastAsiaTheme="minorEastAsia"/>
          <w:sz w:val="24"/>
          <w:szCs w:val="24"/>
          <w:lang w:eastAsia="ru-RU"/>
        </w:rPr>
      </w:r>
      <w:r>
        <w:rPr>
          <w:rFonts w:ascii="Times New Roman CYR" w:hAnsi="Times New Roman CYR" w:cs="Times New Roman CYR" w:eastAsiaTheme="minorEastAsia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*</w:t>
      </w:r>
      <w:r>
        <w:rPr>
          <w:rFonts w:ascii="Times New Roman" w:hAnsi="Times New Roman" w:cs="Times New Roman"/>
          <w:i/>
          <w:sz w:val="20"/>
          <w:szCs w:val="20"/>
        </w:rPr>
        <w:t xml:space="preserve">Информация подается однократно, не позднее </w:t>
      </w:r>
      <w:r>
        <w:rPr>
          <w:rFonts w:ascii="Times New Roman" w:hAnsi="Times New Roman" w:cs="Times New Roman"/>
          <w:i/>
          <w:sz w:val="20"/>
          <w:szCs w:val="20"/>
        </w:rPr>
        <w:t xml:space="preserve">01 апреля года, следующего за отчетным годом, и </w:t>
      </w:r>
      <w:r>
        <w:rPr>
          <w:rFonts w:ascii="Times New Roman" w:hAnsi="Times New Roman" w:cs="Times New Roman"/>
          <w:i/>
          <w:sz w:val="20"/>
          <w:szCs w:val="20"/>
        </w:rPr>
        <w:t xml:space="preserve">формируется на основании данных за предыдущий год, то есть по состоянию на 01 января текущего года</w:t>
      </w:r>
      <w:r>
        <w:rPr>
          <w:rFonts w:ascii="Times New Roman" w:hAnsi="Times New Roman" w:cs="Times New Roman"/>
          <w:i/>
          <w:sz w:val="20"/>
          <w:szCs w:val="20"/>
        </w:rPr>
        <w:t xml:space="preserve">.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</w:r>
      <w:r>
        <w:rPr>
          <w:rFonts w:ascii="Times New Roman" w:hAnsi="Times New Roman" w:cs="Times New Roman"/>
          <w:i/>
        </w:rPr>
      </w:r>
    </w:p>
    <w:p>
      <w:pPr>
        <w:jc w:val="both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pP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[</w:t>
      </w:r>
      <w:r>
        <w:rPr>
          <w:rFonts w:ascii="Times New Roman CYR" w:hAnsi="Times New Roman CYR" w:eastAsia="Times New Roman" w:cs="Times New Roman CYR"/>
          <w:b/>
          <w:bCs/>
          <w:color w:val="26282f"/>
          <w:sz w:val="24"/>
          <w:szCs w:val="24"/>
          <w:lang w:eastAsia="ru-RU"/>
        </w:rPr>
        <w:t xml:space="preserve">наименование должности руководителя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] 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[</w:t>
      </w:r>
      <w:r>
        <w:rPr>
          <w:rFonts w:ascii="Times New Roman CYR" w:hAnsi="Times New Roman CYR" w:eastAsia="Times New Roman" w:cs="Times New Roman CYR"/>
          <w:b/>
          <w:bCs/>
          <w:color w:val="26282f"/>
          <w:sz w:val="24"/>
          <w:szCs w:val="24"/>
          <w:lang w:eastAsia="ru-RU"/>
        </w:rPr>
        <w:t xml:space="preserve">подпись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]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                   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 [</w:t>
      </w:r>
      <w:r>
        <w:rPr>
          <w:rFonts w:ascii="Times New Roman CYR" w:hAnsi="Times New Roman CYR" w:eastAsia="Times New Roman" w:cs="Times New Roman CYR"/>
          <w:b/>
          <w:bCs/>
          <w:color w:val="26282f"/>
          <w:sz w:val="24"/>
          <w:szCs w:val="24"/>
          <w:lang w:eastAsia="ru-RU"/>
        </w:rPr>
        <w:t xml:space="preserve">инициалы, фамилия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]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pP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pP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[</w:t>
      </w:r>
      <w:r>
        <w:rPr>
          <w:rFonts w:ascii="Times New Roman CYR" w:hAnsi="Times New Roman CYR" w:eastAsia="Times New Roman" w:cs="Times New Roman CYR"/>
          <w:b/>
          <w:bCs/>
          <w:color w:val="26282f"/>
          <w:sz w:val="24"/>
          <w:szCs w:val="24"/>
          <w:lang w:eastAsia="ru-RU"/>
        </w:rPr>
        <w:t xml:space="preserve">число, месяц, год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 xml:space="preserve">]</w:t>
      </w:r>
      <w:r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</w:r>
      <w:r>
        <w:rPr>
          <w:rFonts w:ascii="Times New Roman" w:hAnsi="Times New Roman" w:cs="Times New Roman"/>
          <w:i/>
        </w:rPr>
      </w:r>
    </w:p>
    <w:sectPr>
      <w:footerReference w:type="default" r:id="rId8"/>
      <w:footnotePr/>
      <w:endnotePr/>
      <w:type w:val="nextPage"/>
      <w:pgSz w:w="11906" w:h="16838" w:orient="portrait"/>
      <w:pgMar w:top="709" w:right="1080" w:bottom="1440" w:left="10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52"/>
      <w:gridCol w:w="3247"/>
      <w:gridCol w:w="3247"/>
    </w:tblGrid>
    <w:tr>
      <w:tblPrEx/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9800" w:type="dxa"/>
          <w:textDirection w:val="lrTb"/>
          <w:noWrap w:val="false"/>
        </w:tcPr>
        <w:p>
          <w:pPr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</w:r>
          <w:r>
            <w:rPr>
              <w:rFonts w:ascii="Times New Roman" w:hAnsi="Times New Roman" w:cs="Times New Roman"/>
              <w:sz w:val="20"/>
              <w:szCs w:val="20"/>
            </w:rPr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666" w:type="pct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</w:r>
          <w:r>
            <w:rPr>
              <w:rFonts w:ascii="Times New Roman" w:hAnsi="Times New Roman" w:cs="Times New Roman"/>
              <w:sz w:val="20"/>
              <w:szCs w:val="20"/>
            </w:rPr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666" w:type="pct"/>
          <w:textDirection w:val="lrTb"/>
          <w:noWrap w:val="false"/>
        </w:tcPr>
        <w:p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</w:r>
          <w:r>
            <w:rPr>
              <w:rFonts w:ascii="Times New Roman" w:hAnsi="Times New Roman" w:cs="Times New Roman"/>
              <w:sz w:val="20"/>
              <w:szCs w:val="20"/>
            </w:rPr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1"/>
    <w:next w:val="69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2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2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695"/>
    <w:uiPriority w:val="99"/>
  </w:style>
  <w:style w:type="character" w:styleId="45">
    <w:name w:val="Footer Char"/>
    <w:basedOn w:val="692"/>
    <w:link w:val="697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7"/>
    <w:uiPriority w:val="99"/>
  </w:style>
  <w:style w:type="table" w:styleId="4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>
    <w:name w:val="Header"/>
    <w:basedOn w:val="691"/>
    <w:link w:val="6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6" w:customStyle="1">
    <w:name w:val="Верхний колонтитул Знак"/>
    <w:basedOn w:val="692"/>
    <w:link w:val="695"/>
    <w:uiPriority w:val="99"/>
  </w:style>
  <w:style w:type="paragraph" w:styleId="697">
    <w:name w:val="Footer"/>
    <w:basedOn w:val="691"/>
    <w:link w:val="6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8" w:customStyle="1">
    <w:name w:val="Нижний колонтитул Знак"/>
    <w:basedOn w:val="692"/>
    <w:link w:val="69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revision>4</cp:revision>
  <dcterms:created xsi:type="dcterms:W3CDTF">2025-08-13T04:15:00Z</dcterms:created>
  <dcterms:modified xsi:type="dcterms:W3CDTF">2025-09-26T03:44:12Z</dcterms:modified>
</cp:coreProperties>
</file>